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40"/>
          <w:szCs w:val="40"/>
          <w:u w:val="single"/>
          <w:shd w:fill="auto" w:val="clear"/>
          <w:vertAlign w:val="baseline"/>
          <w:rtl w:val="0"/>
        </w:rPr>
        <w:t xml:space="preserve">RESOLUCIÓN N°49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36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(Acta Nº 817- 26/02/2025)</w:t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VISTO: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Las disposiciones del Reglamento Interno de Colegio de Psicólogos de Neuquén Distrito I en relación a las funciones de los cargos de Presidente, Vicepresidente, Tesorero, Secretaria, Prosecretaria y vocales titulares de la Comisión Ejecutiva y los Reglamentos de las distintas Comisiones del Colegio</w:t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Y CONSIDERANDO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 </w:t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la necesidad de hacer más eficaz el funcionamiento institucional y, a su vez, compensar debidamente el pago del lucro cesante</w:t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 COMISION EJECUTIVA DEL COLEGIO DE PSICÓLOGOS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NEUQUÉN - DISTRITO 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36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 E S U E L V 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Artículo 1º: PARA LA PERCEPCIÓN DE LOS HONORARIOS DE LOS INTEGRANTES DE LA COMISIÓN EJECUTIVA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se requiere su asistencia presencial a las reuniones en un 75% del total mensual (en principio 3 de 4) ya que resulta indispensable la participación para asegurar el quórum y la expresión de opiniones e ideas en las votaciones. 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Artículo 2º: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LAS EVENTUALES AUSENCIAS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deberán ser justificadas con la documentación pertinente con una antelación no menor a 48 hs en situaciones previsibles y dentro de las 48 hs posteriores en situaciones imprevisibles. En situaciones de emergencia o eventos extraordinarios no se requerirá con estrictez el plazo citado. 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Artículo 3º: ANTE SITUACIONES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en que el/la integrante de la Comisión vea comprometida su asistencia a reuniones por causas laborales deberá presentar el punto ante la Comisión Ejecutiva para su evaluación, la que resolverá la pertinencia o no del cobro de honorarios y/o su reducción. A tal fin se considerará la participación en otras reuniones institucionales y actividades que planifique la CE, tales como jornadas, cursos, actos u otras a las que fuera convocada y de acuerdo a las tareas que requiera su función.</w:t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b w:val="1"/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Artículo 4°: PARA LOS Y LAS INTEGRANTES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de las Secretarías de Prensa y Difusión, Científica y de Obras Sociales, se considera requisito obligatorio para el pago de honorarios (1) la participación en las reuniones y actividades de la Secretaria, (2) la confección de documentos e informes propios de la especificidad de cada una de las Secretarias y (3) desempeñar las tareas que sean necesarias para el óptimo funcionamiento de las Secretarias.  </w:t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Artículo 5º: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Comuníquese, regístrese y archívese.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17" w:top="993" w:left="1134" w:right="1127" w:header="811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bookmarkStart w:colFirst="0" w:colLast="0" w:name="_30j0zll" w:id="1"/>
    <w:bookmarkEnd w:id="1"/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6120130" cy="381000"/>
          <wp:effectExtent b="0" l="0" r="0" 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20130" cy="381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5931535" cy="57594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31535" cy="57594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widowControl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